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790" w:rsidRDefault="00D81790" w:rsidP="00733A0F">
      <w:pPr>
        <w:spacing w:after="0" w:line="480" w:lineRule="auto"/>
        <w:contextualSpacing/>
        <w:jc w:val="center"/>
        <w:rPr>
          <w:rFonts w:ascii="Times New Roman" w:hAnsi="Times New Roman" w:cs="Times New Roman"/>
          <w:sz w:val="24"/>
          <w:szCs w:val="24"/>
        </w:rPr>
      </w:pPr>
    </w:p>
    <w:p w:rsidR="00D81790" w:rsidRDefault="00D81790" w:rsidP="00733A0F">
      <w:pPr>
        <w:spacing w:after="0" w:line="480" w:lineRule="auto"/>
        <w:contextualSpacing/>
        <w:jc w:val="center"/>
        <w:rPr>
          <w:rFonts w:ascii="Times New Roman" w:hAnsi="Times New Roman" w:cs="Times New Roman"/>
          <w:sz w:val="24"/>
          <w:szCs w:val="24"/>
        </w:rPr>
      </w:pPr>
    </w:p>
    <w:p w:rsidR="00D81790" w:rsidRDefault="00D81790" w:rsidP="00733A0F">
      <w:pPr>
        <w:spacing w:after="0" w:line="480" w:lineRule="auto"/>
        <w:contextualSpacing/>
        <w:jc w:val="center"/>
        <w:rPr>
          <w:rFonts w:ascii="Times New Roman" w:hAnsi="Times New Roman" w:cs="Times New Roman"/>
          <w:sz w:val="24"/>
          <w:szCs w:val="24"/>
        </w:rPr>
      </w:pPr>
    </w:p>
    <w:p w:rsidR="00D81790" w:rsidRDefault="00D81790" w:rsidP="00733A0F">
      <w:pPr>
        <w:spacing w:after="0" w:line="480" w:lineRule="auto"/>
        <w:contextualSpacing/>
        <w:jc w:val="center"/>
        <w:rPr>
          <w:rFonts w:ascii="Times New Roman" w:hAnsi="Times New Roman" w:cs="Times New Roman"/>
          <w:sz w:val="24"/>
          <w:szCs w:val="24"/>
        </w:rPr>
      </w:pPr>
    </w:p>
    <w:p w:rsidR="00D81790" w:rsidRDefault="00D81790" w:rsidP="00733A0F">
      <w:pPr>
        <w:spacing w:after="0" w:line="480" w:lineRule="auto"/>
        <w:contextualSpacing/>
        <w:jc w:val="center"/>
        <w:rPr>
          <w:rFonts w:ascii="Times New Roman" w:hAnsi="Times New Roman" w:cs="Times New Roman"/>
          <w:sz w:val="24"/>
          <w:szCs w:val="24"/>
        </w:rPr>
      </w:pPr>
    </w:p>
    <w:p w:rsidR="00D81790" w:rsidRDefault="00D81790" w:rsidP="00733A0F">
      <w:pPr>
        <w:spacing w:after="0" w:line="480" w:lineRule="auto"/>
        <w:contextualSpacing/>
        <w:jc w:val="center"/>
        <w:rPr>
          <w:rFonts w:ascii="Times New Roman" w:hAnsi="Times New Roman" w:cs="Times New Roman"/>
          <w:sz w:val="24"/>
          <w:szCs w:val="24"/>
        </w:rPr>
      </w:pPr>
    </w:p>
    <w:p w:rsidR="008C6F5B" w:rsidRDefault="008C6F5B" w:rsidP="00733A0F">
      <w:pPr>
        <w:spacing w:after="0" w:line="480" w:lineRule="auto"/>
        <w:contextualSpacing/>
        <w:jc w:val="center"/>
        <w:rPr>
          <w:rFonts w:ascii="Times New Roman" w:hAnsi="Times New Roman" w:cs="Times New Roman"/>
          <w:sz w:val="24"/>
          <w:szCs w:val="24"/>
        </w:rPr>
      </w:pPr>
    </w:p>
    <w:p w:rsidR="005B3F33" w:rsidRDefault="005B3F33" w:rsidP="00733A0F">
      <w:pPr>
        <w:spacing w:after="0" w:line="480" w:lineRule="auto"/>
        <w:contextualSpacing/>
        <w:jc w:val="center"/>
        <w:rPr>
          <w:rFonts w:ascii="Times New Roman" w:hAnsi="Times New Roman" w:cs="Times New Roman"/>
          <w:sz w:val="24"/>
          <w:szCs w:val="24"/>
        </w:rPr>
      </w:pPr>
    </w:p>
    <w:p w:rsidR="005B3F33" w:rsidRDefault="005B3F33" w:rsidP="00733A0F">
      <w:pPr>
        <w:spacing w:after="0" w:line="480" w:lineRule="auto"/>
        <w:contextualSpacing/>
        <w:jc w:val="center"/>
        <w:rPr>
          <w:rFonts w:ascii="Times New Roman" w:hAnsi="Times New Roman" w:cs="Times New Roman"/>
          <w:sz w:val="24"/>
          <w:szCs w:val="24"/>
        </w:rPr>
      </w:pPr>
    </w:p>
    <w:p w:rsidR="008C6F5B" w:rsidRDefault="008C6F5B" w:rsidP="00733A0F">
      <w:pPr>
        <w:spacing w:after="0" w:line="480" w:lineRule="auto"/>
        <w:contextualSpacing/>
        <w:jc w:val="center"/>
        <w:rPr>
          <w:rFonts w:ascii="Times New Roman" w:hAnsi="Times New Roman" w:cs="Times New Roman"/>
          <w:sz w:val="24"/>
          <w:szCs w:val="24"/>
        </w:rPr>
      </w:pPr>
    </w:p>
    <w:p w:rsidR="007203BD" w:rsidRDefault="00D87E81" w:rsidP="00733A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Financial Management Practices</w:t>
      </w:r>
    </w:p>
    <w:p w:rsidR="00D81790" w:rsidRDefault="00D87E81" w:rsidP="00733A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D81790" w:rsidRDefault="00D87E81" w:rsidP="00733A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81790" w:rsidRPr="00D81790" w:rsidRDefault="00D81790" w:rsidP="00733A0F">
      <w:pPr>
        <w:spacing w:after="0" w:line="480" w:lineRule="auto"/>
        <w:contextualSpacing/>
        <w:rPr>
          <w:rFonts w:ascii="Times New Roman" w:hAnsi="Times New Roman" w:cs="Times New Roman"/>
          <w:sz w:val="24"/>
          <w:szCs w:val="24"/>
        </w:rPr>
      </w:pPr>
    </w:p>
    <w:p w:rsidR="00733A0F" w:rsidRDefault="00733A0F">
      <w:pPr>
        <w:rPr>
          <w:rFonts w:ascii="Times New Roman" w:hAnsi="Times New Roman" w:cs="Times New Roman"/>
          <w:b/>
          <w:sz w:val="24"/>
          <w:szCs w:val="24"/>
        </w:rPr>
      </w:pPr>
      <w:r>
        <w:rPr>
          <w:rFonts w:ascii="Times New Roman" w:hAnsi="Times New Roman" w:cs="Times New Roman"/>
          <w:b/>
          <w:sz w:val="24"/>
          <w:szCs w:val="24"/>
        </w:rPr>
        <w:br w:type="page"/>
      </w:r>
    </w:p>
    <w:p w:rsidR="001B4447" w:rsidRPr="00733A0F" w:rsidRDefault="00D87E81" w:rsidP="00733A0F">
      <w:pPr>
        <w:spacing w:after="0" w:line="480" w:lineRule="auto"/>
        <w:contextualSpacing/>
        <w:jc w:val="center"/>
        <w:rPr>
          <w:rFonts w:ascii="Times New Roman" w:hAnsi="Times New Roman" w:cs="Times New Roman"/>
          <w:b/>
          <w:sz w:val="24"/>
          <w:szCs w:val="24"/>
        </w:rPr>
      </w:pPr>
      <w:r w:rsidRPr="00733A0F">
        <w:rPr>
          <w:rFonts w:ascii="Times New Roman" w:hAnsi="Times New Roman" w:cs="Times New Roman"/>
          <w:b/>
          <w:sz w:val="24"/>
          <w:szCs w:val="24"/>
        </w:rPr>
        <w:lastRenderedPageBreak/>
        <w:t>Executive Summary</w:t>
      </w:r>
    </w:p>
    <w:p w:rsidR="008C6F5B" w:rsidRPr="00EF3BFB" w:rsidRDefault="00D87E8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Financial management practices correlate to organizational performance; therefore, firms should strive to find holistic managerial solutions to ensure sustainability of their profitability.  Capital structure decisions enable firms to manage their finances to ensure they are operational using funds from various sources. </w:t>
      </w:r>
      <w:r w:rsidR="00EF4AC1">
        <w:rPr>
          <w:rFonts w:ascii="Times New Roman" w:hAnsi="Times New Roman" w:cs="Times New Roman"/>
          <w:sz w:val="24"/>
          <w:szCs w:val="24"/>
        </w:rPr>
        <w:t>Companies practice dividend policies to determine the proportion of their profits that they should pay their shareholders. Financial performance assessment uses multiple ratios to provide statistical data about the growth of a company in comparison to other firms within the industry. Investment appraisal techniques enable firms to utilize net present value, payback period, internal rate of return, adjusted cur</w:t>
      </w:r>
      <w:r w:rsidR="00E64D2D">
        <w:rPr>
          <w:rFonts w:ascii="Times New Roman" w:hAnsi="Times New Roman" w:cs="Times New Roman"/>
          <w:sz w:val="24"/>
          <w:szCs w:val="24"/>
        </w:rPr>
        <w:t>rent value, modified</w:t>
      </w:r>
      <w:r w:rsidR="00EF4AC1">
        <w:rPr>
          <w:rFonts w:ascii="Times New Roman" w:hAnsi="Times New Roman" w:cs="Times New Roman"/>
          <w:sz w:val="24"/>
          <w:szCs w:val="24"/>
        </w:rPr>
        <w:t xml:space="preserve"> an internal rate of return, profitability index, and an equivalent annuity to determine the viability of investment opportunities. </w:t>
      </w:r>
      <w:r w:rsidR="00E64D2D">
        <w:rPr>
          <w:rFonts w:ascii="Times New Roman" w:hAnsi="Times New Roman" w:cs="Times New Roman"/>
          <w:sz w:val="24"/>
          <w:szCs w:val="24"/>
        </w:rPr>
        <w:t>Lastly, working capital management uses in monitoring the current assets and current liabilities to provide a financial image on the efficiency of organizations.</w:t>
      </w:r>
    </w:p>
    <w:p w:rsidR="00EF4AC1" w:rsidRDefault="00D87E8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Empirical evidence shows that sound financial management practices translate into improvement in the performance of organizations. The operability of institutions that managed well along </w:t>
      </w:r>
      <w:r w:rsidR="008F2E18">
        <w:rPr>
          <w:rFonts w:ascii="Times New Roman" w:hAnsi="Times New Roman" w:cs="Times New Roman"/>
          <w:sz w:val="24"/>
          <w:szCs w:val="24"/>
        </w:rPr>
        <w:t xml:space="preserve">financial terms gives a positive signal to the investors and the regulatory authorities. In this regard, managers play a crucial part in ensuring the success of the financial frameworks within their organizations </w:t>
      </w:r>
      <w:r w:rsidR="00416AEA">
        <w:rPr>
          <w:rFonts w:ascii="Times New Roman" w:hAnsi="Times New Roman" w:cs="Times New Roman"/>
          <w:sz w:val="24"/>
          <w:szCs w:val="24"/>
        </w:rPr>
        <w:t>since they integrate various management practices that align with the demands of the customers and investors. Therefore, it is prudent that the ownership and management of organizations should be separated to avoid interference of the governance infrastructure</w:t>
      </w:r>
      <w:r w:rsidR="000249A4">
        <w:rPr>
          <w:rFonts w:ascii="Times New Roman" w:hAnsi="Times New Roman" w:cs="Times New Roman"/>
          <w:sz w:val="24"/>
          <w:szCs w:val="24"/>
        </w:rPr>
        <w:t xml:space="preserve"> (Butt et al</w:t>
      </w:r>
      <w:r w:rsidR="00416AEA">
        <w:rPr>
          <w:rFonts w:ascii="Times New Roman" w:hAnsi="Times New Roman" w:cs="Times New Roman"/>
          <w:sz w:val="24"/>
          <w:szCs w:val="24"/>
        </w:rPr>
        <w:t>.</w:t>
      </w:r>
      <w:r w:rsidR="000249A4">
        <w:rPr>
          <w:rFonts w:ascii="Times New Roman" w:hAnsi="Times New Roman" w:cs="Times New Roman"/>
          <w:sz w:val="24"/>
          <w:szCs w:val="24"/>
        </w:rPr>
        <w:t>, 2010).</w:t>
      </w:r>
      <w:r w:rsidR="00416AEA">
        <w:rPr>
          <w:rFonts w:ascii="Times New Roman" w:hAnsi="Times New Roman" w:cs="Times New Roman"/>
          <w:sz w:val="24"/>
          <w:szCs w:val="24"/>
        </w:rPr>
        <w:t xml:space="preserve"> The key responsibilities of a manager include implementing financial policies by making appropriate corporate investment decisions, provide compensation, and dividends to investors. Also, they are required to manage debts through equity substitution practices to finance assets. The paper offers a conceptual framework for financial management practices and how it </w:t>
      </w:r>
      <w:r w:rsidR="00416AEA">
        <w:rPr>
          <w:rFonts w:ascii="Times New Roman" w:hAnsi="Times New Roman" w:cs="Times New Roman"/>
          <w:sz w:val="24"/>
          <w:szCs w:val="24"/>
        </w:rPr>
        <w:lastRenderedPageBreak/>
        <w:t>affe</w:t>
      </w:r>
      <w:r w:rsidR="000249A4">
        <w:rPr>
          <w:rFonts w:ascii="Times New Roman" w:hAnsi="Times New Roman" w:cs="Times New Roman"/>
          <w:sz w:val="24"/>
          <w:szCs w:val="24"/>
        </w:rPr>
        <w:t>cts organizational performance. Therefore, discussed below are underpinning management practices such as working capital management, capital structure decision, dividend policy, financial performance assessment, and investment appraisal techniques.</w:t>
      </w:r>
    </w:p>
    <w:p w:rsidR="00733A0F" w:rsidRDefault="00733A0F">
      <w:pPr>
        <w:rPr>
          <w:rFonts w:ascii="Times New Roman" w:hAnsi="Times New Roman" w:cs="Times New Roman"/>
          <w:b/>
          <w:sz w:val="24"/>
          <w:szCs w:val="24"/>
        </w:rPr>
      </w:pPr>
      <w:r>
        <w:rPr>
          <w:rFonts w:ascii="Times New Roman" w:hAnsi="Times New Roman" w:cs="Times New Roman"/>
          <w:b/>
          <w:sz w:val="24"/>
          <w:szCs w:val="24"/>
        </w:rPr>
        <w:br w:type="page"/>
      </w:r>
    </w:p>
    <w:p w:rsidR="00733A0F" w:rsidRDefault="00733A0F" w:rsidP="00733A0F">
      <w:pPr>
        <w:spacing w:after="0" w:line="480" w:lineRule="auto"/>
        <w:ind w:firstLine="720"/>
        <w:contextualSpacing/>
        <w:jc w:val="center"/>
        <w:rPr>
          <w:rFonts w:ascii="Times New Roman" w:hAnsi="Times New Roman" w:cs="Times New Roman"/>
          <w:b/>
          <w:sz w:val="24"/>
          <w:szCs w:val="24"/>
        </w:rPr>
      </w:pPr>
      <w:r w:rsidRPr="00D81790">
        <w:rPr>
          <w:rFonts w:ascii="Times New Roman" w:hAnsi="Times New Roman" w:cs="Times New Roman"/>
          <w:b/>
          <w:sz w:val="24"/>
          <w:szCs w:val="24"/>
        </w:rPr>
        <w:lastRenderedPageBreak/>
        <w:t>Financial Management Practices</w:t>
      </w:r>
    </w:p>
    <w:p w:rsidR="00EF4AC1" w:rsidRPr="00EF4AC1" w:rsidRDefault="00D87E81" w:rsidP="00733A0F">
      <w:pPr>
        <w:spacing w:after="0" w:line="480" w:lineRule="auto"/>
        <w:contextualSpacing/>
        <w:rPr>
          <w:rFonts w:ascii="Times New Roman" w:hAnsi="Times New Roman" w:cs="Times New Roman"/>
          <w:b/>
          <w:sz w:val="24"/>
          <w:szCs w:val="24"/>
        </w:rPr>
      </w:pPr>
      <w:r w:rsidRPr="00EF4AC1">
        <w:rPr>
          <w:rFonts w:ascii="Times New Roman" w:hAnsi="Times New Roman" w:cs="Times New Roman"/>
          <w:b/>
          <w:sz w:val="24"/>
          <w:szCs w:val="24"/>
        </w:rPr>
        <w:t>Capital Structure</w:t>
      </w:r>
      <w:r w:rsidR="00EB0B2C">
        <w:rPr>
          <w:rFonts w:ascii="Times New Roman" w:hAnsi="Times New Roman" w:cs="Times New Roman"/>
          <w:b/>
          <w:sz w:val="24"/>
          <w:szCs w:val="24"/>
        </w:rPr>
        <w:t xml:space="preserve"> Decision</w:t>
      </w:r>
    </w:p>
    <w:p w:rsidR="00EB0B2C" w:rsidRDefault="00D87E8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Capital structure decision </w:t>
      </w:r>
      <w:r w:rsidR="002736D7">
        <w:rPr>
          <w:rFonts w:ascii="Times New Roman" w:hAnsi="Times New Roman" w:cs="Times New Roman"/>
          <w:sz w:val="24"/>
          <w:szCs w:val="24"/>
        </w:rPr>
        <w:t xml:space="preserve">refers to the various choices that an organization can make when financing its assets. The management practice involves debt-to-equity infrastructure that enables companies to raise capital. The decision making process uses integrative approaches that combine debt and equity to balance the costs and benefits. The optimization of capital is the primary responsibility of the management to maximize the valuation of the corporation. </w:t>
      </w:r>
      <w:r w:rsidR="00966CC9">
        <w:rPr>
          <w:rFonts w:ascii="Times New Roman" w:hAnsi="Times New Roman" w:cs="Times New Roman"/>
          <w:sz w:val="24"/>
          <w:szCs w:val="24"/>
        </w:rPr>
        <w:t>Corporate financial management directly affects the returns and shares of many organizations; therefore, misuse of their monetary pools causes risks that endanger their survival</w:t>
      </w:r>
      <w:r w:rsidR="009529C6">
        <w:rPr>
          <w:rFonts w:ascii="Times New Roman" w:hAnsi="Times New Roman" w:cs="Times New Roman"/>
          <w:sz w:val="24"/>
          <w:szCs w:val="24"/>
        </w:rPr>
        <w:t xml:space="preserve"> (Jain et al., 2013)</w:t>
      </w:r>
      <w:r w:rsidR="00966CC9">
        <w:rPr>
          <w:rFonts w:ascii="Times New Roman" w:hAnsi="Times New Roman" w:cs="Times New Roman"/>
          <w:sz w:val="24"/>
          <w:szCs w:val="24"/>
        </w:rPr>
        <w:t xml:space="preserve">. On </w:t>
      </w:r>
      <w:r w:rsidR="009529C6">
        <w:rPr>
          <w:rFonts w:ascii="Times New Roman" w:hAnsi="Times New Roman" w:cs="Times New Roman"/>
          <w:sz w:val="24"/>
          <w:szCs w:val="24"/>
        </w:rPr>
        <w:t>t</w:t>
      </w:r>
      <w:r w:rsidR="00966CC9">
        <w:rPr>
          <w:rFonts w:ascii="Times New Roman" w:hAnsi="Times New Roman" w:cs="Times New Roman"/>
          <w:sz w:val="24"/>
          <w:szCs w:val="24"/>
        </w:rPr>
        <w:t>he other hand, cons</w:t>
      </w:r>
      <w:r w:rsidR="009529C6">
        <w:rPr>
          <w:rFonts w:ascii="Times New Roman" w:hAnsi="Times New Roman" w:cs="Times New Roman"/>
          <w:sz w:val="24"/>
          <w:szCs w:val="24"/>
        </w:rPr>
        <w:t>ervative capital policies deny</w:t>
      </w:r>
      <w:r w:rsidR="00966CC9">
        <w:rPr>
          <w:rFonts w:ascii="Times New Roman" w:hAnsi="Times New Roman" w:cs="Times New Roman"/>
          <w:sz w:val="24"/>
          <w:szCs w:val="24"/>
        </w:rPr>
        <w:t xml:space="preserve"> companies to reach optimal equity rates of returns. </w:t>
      </w:r>
      <w:r w:rsidR="002736D7">
        <w:rPr>
          <w:rFonts w:ascii="Times New Roman" w:hAnsi="Times New Roman" w:cs="Times New Roman"/>
          <w:sz w:val="24"/>
          <w:szCs w:val="24"/>
        </w:rPr>
        <w:t>Companies can; therefore, finance their debts consequently enabling them to borrow money from different lenders to raise the capital necessary for their operational expenditures</w:t>
      </w:r>
      <w:r w:rsidR="00394908">
        <w:rPr>
          <w:rFonts w:ascii="Times New Roman" w:hAnsi="Times New Roman" w:cs="Times New Roman"/>
          <w:sz w:val="24"/>
          <w:szCs w:val="24"/>
        </w:rPr>
        <w:t xml:space="preserve">. The performance of the organizations significantly improves due to ease of access to short-term and long-term loans to purchase assets such as equipment and building. </w:t>
      </w:r>
    </w:p>
    <w:p w:rsidR="000249A4" w:rsidRDefault="00394908"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Besides, equity enables companies to obtain funds without incurring liabilities. In this regard, debts have no specific timelines for repayment consequently attracting investors to purchase shares within the organizations while speculating high-profit margins in the future</w:t>
      </w:r>
      <w:r w:rsidR="002C5443">
        <w:rPr>
          <w:rFonts w:ascii="Times New Roman" w:hAnsi="Times New Roman" w:cs="Times New Roman"/>
          <w:sz w:val="24"/>
          <w:szCs w:val="24"/>
        </w:rPr>
        <w:t xml:space="preserve"> (Modugu, 2013)</w:t>
      </w:r>
      <w:r>
        <w:rPr>
          <w:rFonts w:ascii="Times New Roman" w:hAnsi="Times New Roman" w:cs="Times New Roman"/>
          <w:sz w:val="24"/>
          <w:szCs w:val="24"/>
        </w:rPr>
        <w:t xml:space="preserve">. Also, debt and equity can be used simultaneously to </w:t>
      </w:r>
      <w:r w:rsidR="00F43C6A">
        <w:rPr>
          <w:rFonts w:ascii="Times New Roman" w:hAnsi="Times New Roman" w:cs="Times New Roman"/>
          <w:sz w:val="24"/>
          <w:szCs w:val="24"/>
        </w:rPr>
        <w:t xml:space="preserve">minimize the tradeoffs associated with each </w:t>
      </w:r>
      <w:r w:rsidR="002C5443">
        <w:rPr>
          <w:rFonts w:ascii="Times New Roman" w:hAnsi="Times New Roman" w:cs="Times New Roman"/>
          <w:sz w:val="24"/>
          <w:szCs w:val="24"/>
        </w:rPr>
        <w:t>to enhance financial flexibilities that provide growth opportunities</w:t>
      </w:r>
      <w:r w:rsidR="00F43C6A">
        <w:rPr>
          <w:rFonts w:ascii="Times New Roman" w:hAnsi="Times New Roman" w:cs="Times New Roman"/>
          <w:sz w:val="24"/>
          <w:szCs w:val="24"/>
        </w:rPr>
        <w:t>. The management is; therefore, able to generate returns from its total assets</w:t>
      </w:r>
      <w:r w:rsidR="002C5443">
        <w:rPr>
          <w:rFonts w:ascii="Times New Roman" w:hAnsi="Times New Roman" w:cs="Times New Roman"/>
          <w:sz w:val="24"/>
          <w:szCs w:val="24"/>
        </w:rPr>
        <w:t xml:space="preserve"> through establishing an equilibrium between risks and returns</w:t>
      </w:r>
      <w:r w:rsidR="00F43C6A">
        <w:rPr>
          <w:rFonts w:ascii="Times New Roman" w:hAnsi="Times New Roman" w:cs="Times New Roman"/>
          <w:sz w:val="24"/>
          <w:szCs w:val="24"/>
        </w:rPr>
        <w:t xml:space="preserve">. </w:t>
      </w:r>
      <w:r w:rsidR="00966CC9">
        <w:rPr>
          <w:rFonts w:ascii="Times New Roman" w:hAnsi="Times New Roman" w:cs="Times New Roman"/>
          <w:sz w:val="24"/>
          <w:szCs w:val="24"/>
        </w:rPr>
        <w:t>In this regard, there is a tendency of most organizations showing preference towards internall</w:t>
      </w:r>
      <w:r w:rsidR="009529C6">
        <w:rPr>
          <w:rFonts w:ascii="Times New Roman" w:hAnsi="Times New Roman" w:cs="Times New Roman"/>
          <w:sz w:val="24"/>
          <w:szCs w:val="24"/>
        </w:rPr>
        <w:t xml:space="preserve">y generated funds as opposed to external financing to reduce </w:t>
      </w:r>
      <w:r w:rsidR="009529C6">
        <w:rPr>
          <w:rFonts w:ascii="Times New Roman" w:hAnsi="Times New Roman" w:cs="Times New Roman"/>
          <w:sz w:val="24"/>
          <w:szCs w:val="24"/>
        </w:rPr>
        <w:lastRenderedPageBreak/>
        <w:t>their debts.</w:t>
      </w:r>
      <w:r w:rsidR="00966CC9">
        <w:rPr>
          <w:rFonts w:ascii="Times New Roman" w:hAnsi="Times New Roman" w:cs="Times New Roman"/>
          <w:sz w:val="24"/>
          <w:szCs w:val="24"/>
        </w:rPr>
        <w:t xml:space="preserve"> </w:t>
      </w:r>
      <w:r w:rsidR="002C5443">
        <w:rPr>
          <w:rFonts w:ascii="Times New Roman" w:hAnsi="Times New Roman" w:cs="Times New Roman"/>
          <w:sz w:val="24"/>
          <w:szCs w:val="24"/>
        </w:rPr>
        <w:t xml:space="preserve">The ultimate goal of capital structure decision is to minimize risks that reduce the leverage of the firms in the corporate world. </w:t>
      </w:r>
      <w:r>
        <w:rPr>
          <w:rFonts w:ascii="Times New Roman" w:hAnsi="Times New Roman" w:cs="Times New Roman"/>
          <w:sz w:val="24"/>
          <w:szCs w:val="24"/>
        </w:rPr>
        <w:t xml:space="preserve"> </w:t>
      </w:r>
      <w:r w:rsidR="002736D7">
        <w:rPr>
          <w:rFonts w:ascii="Times New Roman" w:hAnsi="Times New Roman" w:cs="Times New Roman"/>
          <w:sz w:val="24"/>
          <w:szCs w:val="24"/>
        </w:rPr>
        <w:t xml:space="preserve"> </w:t>
      </w:r>
    </w:p>
    <w:p w:rsidR="00EF4AC1" w:rsidRPr="00EF4AC1" w:rsidRDefault="00D87E81" w:rsidP="00733A0F">
      <w:pPr>
        <w:spacing w:after="0" w:line="480" w:lineRule="auto"/>
        <w:contextualSpacing/>
        <w:rPr>
          <w:rFonts w:ascii="Times New Roman" w:hAnsi="Times New Roman" w:cs="Times New Roman"/>
          <w:b/>
          <w:sz w:val="24"/>
          <w:szCs w:val="24"/>
        </w:rPr>
      </w:pPr>
      <w:r w:rsidRPr="00EF4AC1">
        <w:rPr>
          <w:rFonts w:ascii="Times New Roman" w:hAnsi="Times New Roman" w:cs="Times New Roman"/>
          <w:b/>
          <w:sz w:val="24"/>
          <w:szCs w:val="24"/>
        </w:rPr>
        <w:t>Dividend Policy</w:t>
      </w:r>
    </w:p>
    <w:p w:rsidR="00120AF1" w:rsidRDefault="00D87E8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Moreover, dividend policy refers to the proportion of returns that firms distribute among its shareholders as a form of reward towards their investment. Typically, shareholders are interested in earning optimal dividends </w:t>
      </w:r>
      <w:r w:rsidR="00A81EA2">
        <w:rPr>
          <w:rFonts w:ascii="Times New Roman" w:hAnsi="Times New Roman" w:cs="Times New Roman"/>
          <w:sz w:val="24"/>
          <w:szCs w:val="24"/>
        </w:rPr>
        <w:t xml:space="preserve">while companies need the pool of funds from them to finance their long-term growth. The managerial structure of organizations should be such that they can retain earnings after the distribution of dividends. A regular dividend policy not </w:t>
      </w:r>
      <w:r w:rsidR="00120AF1">
        <w:rPr>
          <w:rFonts w:ascii="Times New Roman" w:hAnsi="Times New Roman" w:cs="Times New Roman"/>
          <w:sz w:val="24"/>
          <w:szCs w:val="24"/>
        </w:rPr>
        <w:t xml:space="preserve">only </w:t>
      </w:r>
      <w:r w:rsidR="00A81EA2">
        <w:rPr>
          <w:rFonts w:ascii="Times New Roman" w:hAnsi="Times New Roman" w:cs="Times New Roman"/>
          <w:sz w:val="24"/>
          <w:szCs w:val="24"/>
        </w:rPr>
        <w:t>ensures the profitability of a company but also provides the satisfaction of the shareholders. Consequently, the shareholders remain confident in the companies to raise profits continually. Furthermore, long-term financing is possible through stabilized market value of shares</w:t>
      </w:r>
      <w:r w:rsidR="00D5103B">
        <w:rPr>
          <w:rFonts w:ascii="Times New Roman" w:hAnsi="Times New Roman" w:cs="Times New Roman"/>
          <w:sz w:val="24"/>
          <w:szCs w:val="24"/>
        </w:rPr>
        <w:t xml:space="preserve"> (Accounting Tools, 2018)</w:t>
      </w:r>
      <w:r w:rsidR="00A81EA2">
        <w:rPr>
          <w:rFonts w:ascii="Times New Roman" w:hAnsi="Times New Roman" w:cs="Times New Roman"/>
          <w:sz w:val="24"/>
          <w:szCs w:val="24"/>
        </w:rPr>
        <w:t xml:space="preserve">. Managers are responsible for preventing shares from </w:t>
      </w:r>
      <w:r w:rsidR="00A734FB">
        <w:rPr>
          <w:rFonts w:ascii="Times New Roman" w:hAnsi="Times New Roman" w:cs="Times New Roman"/>
          <w:sz w:val="24"/>
          <w:szCs w:val="24"/>
        </w:rPr>
        <w:t>varying by establishing an equilibrium that prevents the distribution of surplus or fewer dividends to the shareholders.</w:t>
      </w:r>
      <w:r w:rsidR="00D5103B">
        <w:rPr>
          <w:rFonts w:ascii="Times New Roman" w:hAnsi="Times New Roman" w:cs="Times New Roman"/>
          <w:sz w:val="24"/>
          <w:szCs w:val="24"/>
        </w:rPr>
        <w:t xml:space="preserve"> </w:t>
      </w:r>
      <w:r w:rsidR="00120AF1">
        <w:rPr>
          <w:rFonts w:ascii="Times New Roman" w:hAnsi="Times New Roman" w:cs="Times New Roman"/>
          <w:sz w:val="24"/>
          <w:szCs w:val="24"/>
        </w:rPr>
        <w:t xml:space="preserve"> </w:t>
      </w:r>
    </w:p>
    <w:p w:rsidR="002C5443" w:rsidRDefault="00120AF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Decisions involving the distribution of shares to the stockholders require managers to take into consideration objectives of their companies to accrue maximum returns. </w:t>
      </w:r>
      <w:r w:rsidR="00D10017">
        <w:rPr>
          <w:rFonts w:ascii="Times New Roman" w:hAnsi="Times New Roman" w:cs="Times New Roman"/>
          <w:sz w:val="24"/>
          <w:szCs w:val="24"/>
        </w:rPr>
        <w:t>The projected payout ratio should align its expectations to the interests of the shareholder to ensure continual capital gains. The bird-in-hand theory stipulates that investors prefer high payout since they anticipate that dividends are less compared capital gains in the future.</w:t>
      </w:r>
      <w:r w:rsidR="00AA78C1">
        <w:rPr>
          <w:rFonts w:ascii="Times New Roman" w:hAnsi="Times New Roman" w:cs="Times New Roman"/>
          <w:sz w:val="24"/>
          <w:szCs w:val="24"/>
        </w:rPr>
        <w:t xml:space="preserve"> </w:t>
      </w:r>
      <w:r w:rsidR="00D5103B">
        <w:rPr>
          <w:rFonts w:ascii="Times New Roman" w:hAnsi="Times New Roman" w:cs="Times New Roman"/>
          <w:sz w:val="24"/>
          <w:szCs w:val="24"/>
        </w:rPr>
        <w:t>In this regard, the company can hold onto income-oriented investors who will not sell their shares due to rapid stock price declines. Conclusively, dividend issuance should be a long-term strategy as oppose</w:t>
      </w:r>
      <w:r w:rsidR="00AA78C1">
        <w:rPr>
          <w:rFonts w:ascii="Times New Roman" w:hAnsi="Times New Roman" w:cs="Times New Roman"/>
          <w:sz w:val="24"/>
          <w:szCs w:val="24"/>
        </w:rPr>
        <w:t xml:space="preserve">d to short-term financial needs such that when financial managers set optimal dividend targets, they should strike a balance between future and current growth. </w:t>
      </w:r>
    </w:p>
    <w:p w:rsidR="0040718D" w:rsidRPr="0040718D" w:rsidRDefault="00D87E81" w:rsidP="00733A0F">
      <w:pPr>
        <w:spacing w:after="0" w:line="480" w:lineRule="auto"/>
        <w:contextualSpacing/>
        <w:rPr>
          <w:rFonts w:ascii="Times New Roman" w:hAnsi="Times New Roman" w:cs="Times New Roman"/>
          <w:b/>
          <w:sz w:val="24"/>
          <w:szCs w:val="24"/>
        </w:rPr>
      </w:pPr>
      <w:r w:rsidRPr="0040718D">
        <w:rPr>
          <w:rFonts w:ascii="Times New Roman" w:hAnsi="Times New Roman" w:cs="Times New Roman"/>
          <w:b/>
          <w:sz w:val="24"/>
          <w:szCs w:val="24"/>
        </w:rPr>
        <w:t>Working Capital Management</w:t>
      </w:r>
    </w:p>
    <w:p w:rsidR="00D01F39" w:rsidRDefault="00D87E8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Additionally, working capital management is a metric that is used to establish the efficacy of organizations in terms of their short-term financial statuses. </w:t>
      </w:r>
      <w:r w:rsidR="00AA78C1">
        <w:rPr>
          <w:rFonts w:ascii="Times New Roman" w:hAnsi="Times New Roman" w:cs="Times New Roman"/>
          <w:sz w:val="24"/>
          <w:szCs w:val="24"/>
        </w:rPr>
        <w:t xml:space="preserve"> Working capital management is a representation of the current assets that can sustain the day-today operations of a firm. In spite of some firms looking profitable, they are sometimes forced to cease doing business</w:t>
      </w:r>
      <w:r w:rsidR="00D01F39">
        <w:rPr>
          <w:rFonts w:ascii="Times New Roman" w:hAnsi="Times New Roman" w:cs="Times New Roman"/>
          <w:sz w:val="24"/>
          <w:szCs w:val="24"/>
        </w:rPr>
        <w:t xml:space="preserve"> since they are unable to meet short-term obligations. Therefore, care should be taken to successfully manage working capital. Financial managers are supposed to understand current assets constitute a major proportion of the companies’ total assets. Shares are correlated to returns as opposed to accounting profits and failure to effectively manage working capital is likely to lead to collapse. </w:t>
      </w:r>
      <w:r>
        <w:rPr>
          <w:rFonts w:ascii="Times New Roman" w:hAnsi="Times New Roman" w:cs="Times New Roman"/>
          <w:sz w:val="24"/>
          <w:szCs w:val="24"/>
        </w:rPr>
        <w:t>The managerial structure sets aside capital for short-term financing from external sources while maintaining their assets. Organizations invest in current assets that can easily be liquefied to manage the cash flow in circulation.  In this regard, companies can match their assets and liabilities until they mature</w:t>
      </w:r>
      <w:r w:rsidR="004E17C1">
        <w:rPr>
          <w:rFonts w:ascii="Times New Roman" w:hAnsi="Times New Roman" w:cs="Times New Roman"/>
          <w:sz w:val="24"/>
          <w:szCs w:val="24"/>
        </w:rPr>
        <w:t xml:space="preserve">. </w:t>
      </w:r>
    </w:p>
    <w:p w:rsidR="00D01F39" w:rsidRPr="00D01F39" w:rsidRDefault="004E17C1" w:rsidP="00D01F39">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From a performance standpoint, organizations can manage their inventories effectively through maintenance of the right stock that prevent the reduction in the sales levels and customers' delays. Inventory control optimization methodologies enable firms to keep track of their stock to determine slow-moving and fast-moving items. Also, firms can manage receivables that encompass opportunity costs and time values that associate with bad debts</w:t>
      </w:r>
      <w:r w:rsidR="001A418B">
        <w:rPr>
          <w:rFonts w:ascii="Times New Roman" w:hAnsi="Times New Roman" w:cs="Times New Roman"/>
          <w:sz w:val="24"/>
          <w:szCs w:val="24"/>
        </w:rPr>
        <w:t xml:space="preserve"> (Ganesan, 2017)</w:t>
      </w:r>
      <w:r>
        <w:rPr>
          <w:rFonts w:ascii="Times New Roman" w:hAnsi="Times New Roman" w:cs="Times New Roman"/>
          <w:sz w:val="24"/>
          <w:szCs w:val="24"/>
        </w:rPr>
        <w:t xml:space="preserve">. The managers are also able to prepare measurement reports from the feedback obtained from credit and treasury departments. </w:t>
      </w:r>
      <w:r w:rsidR="00D87E81">
        <w:rPr>
          <w:rFonts w:ascii="Times New Roman" w:hAnsi="Times New Roman" w:cs="Times New Roman"/>
          <w:sz w:val="24"/>
          <w:szCs w:val="24"/>
        </w:rPr>
        <w:t>The working capital management strategy prevents managers from excessively focusing on income statements while disregarding the balance sheets consequently improving cash flow within their orga</w:t>
      </w:r>
      <w:r w:rsidR="00EF4AC1">
        <w:rPr>
          <w:rFonts w:ascii="Times New Roman" w:hAnsi="Times New Roman" w:cs="Times New Roman"/>
          <w:sz w:val="24"/>
          <w:szCs w:val="24"/>
        </w:rPr>
        <w:t xml:space="preserve">nizations (Dahiya, 2012). </w:t>
      </w:r>
      <w:r>
        <w:rPr>
          <w:rFonts w:ascii="Times New Roman" w:hAnsi="Times New Roman" w:cs="Times New Roman"/>
          <w:sz w:val="24"/>
          <w:szCs w:val="24"/>
        </w:rPr>
        <w:t>Again, the accuracy of receivable records are ensured since most financial accounts are centralized making them secure.</w:t>
      </w:r>
    </w:p>
    <w:p w:rsidR="0040718D" w:rsidRPr="0040718D" w:rsidRDefault="00D87E81" w:rsidP="00733A0F">
      <w:pPr>
        <w:spacing w:after="0" w:line="480" w:lineRule="auto"/>
        <w:contextualSpacing/>
        <w:rPr>
          <w:rFonts w:ascii="Times New Roman" w:hAnsi="Times New Roman" w:cs="Times New Roman"/>
          <w:b/>
          <w:sz w:val="24"/>
          <w:szCs w:val="24"/>
        </w:rPr>
      </w:pPr>
      <w:r w:rsidRPr="0040718D">
        <w:rPr>
          <w:rFonts w:ascii="Times New Roman" w:hAnsi="Times New Roman" w:cs="Times New Roman"/>
          <w:b/>
          <w:sz w:val="24"/>
          <w:szCs w:val="24"/>
        </w:rPr>
        <w:t>Financial Assessment Performance</w:t>
      </w:r>
    </w:p>
    <w:p w:rsidR="00145FDF" w:rsidRDefault="00D87E8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In addition, financial performance assessment involves is a business planning strategy that involves the development and implementation of sound financial and management frameworks. </w:t>
      </w:r>
      <w:r w:rsidR="0012082E">
        <w:rPr>
          <w:rFonts w:ascii="Times New Roman" w:hAnsi="Times New Roman" w:cs="Times New Roman"/>
          <w:sz w:val="24"/>
          <w:szCs w:val="24"/>
        </w:rPr>
        <w:t xml:space="preserve">Cash flow, operating income, and operational revenues should be taken into account when carrying out financial assessment performance. </w:t>
      </w:r>
      <w:r>
        <w:rPr>
          <w:rFonts w:ascii="Times New Roman" w:hAnsi="Times New Roman" w:cs="Times New Roman"/>
          <w:sz w:val="24"/>
          <w:szCs w:val="24"/>
        </w:rPr>
        <w:t xml:space="preserve">Carrying out financial evaluation enables managers to meet their business objectives, and identify loopholes that can be improved to make the business profitable. In this regard, managerial </w:t>
      </w:r>
      <w:r w:rsidR="007A154B">
        <w:rPr>
          <w:rFonts w:ascii="Times New Roman" w:hAnsi="Times New Roman" w:cs="Times New Roman"/>
          <w:sz w:val="24"/>
          <w:szCs w:val="24"/>
        </w:rPr>
        <w:t xml:space="preserve">personnel should consistently review cash-flow and update their findings to predict market trends. </w:t>
      </w:r>
      <w:r w:rsidR="00D01F39">
        <w:rPr>
          <w:rFonts w:ascii="Times New Roman" w:hAnsi="Times New Roman" w:cs="Times New Roman"/>
          <w:sz w:val="24"/>
          <w:szCs w:val="24"/>
        </w:rPr>
        <w:t xml:space="preserve">The management can create a financial framework that maps compensation and succession plans as well as allocate resources </w:t>
      </w:r>
      <w:r w:rsidR="0012082E">
        <w:rPr>
          <w:rFonts w:ascii="Times New Roman" w:hAnsi="Times New Roman" w:cs="Times New Roman"/>
          <w:sz w:val="24"/>
          <w:szCs w:val="24"/>
        </w:rPr>
        <w:t xml:space="preserve">to meet the budgetary requirements. </w:t>
      </w:r>
    </w:p>
    <w:p w:rsidR="001A418B" w:rsidRDefault="007A154B"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Also, the maintenance of working capital</w:t>
      </w:r>
      <w:r w:rsidR="00924669">
        <w:rPr>
          <w:rFonts w:ascii="Times New Roman" w:hAnsi="Times New Roman" w:cs="Times New Roman"/>
          <w:sz w:val="24"/>
          <w:szCs w:val="24"/>
        </w:rPr>
        <w:t xml:space="preserve"> ensures that sale prices cover business expenses. Again, the managers can establish cheaper ways of accumulating capital rather than borrowing; therefore, ensuring the business is continuously growing. The essentiality of financial performance assessment is derived from the capability of the business to maintain or increase its profit margins</w:t>
      </w:r>
      <w:r w:rsidR="001B4447">
        <w:rPr>
          <w:rFonts w:ascii="Times New Roman" w:hAnsi="Times New Roman" w:cs="Times New Roman"/>
          <w:sz w:val="24"/>
          <w:szCs w:val="24"/>
        </w:rPr>
        <w:t xml:space="preserve"> (Al-Kassar &amp; Soileau, 2014)</w:t>
      </w:r>
      <w:r w:rsidR="00924669">
        <w:rPr>
          <w:rFonts w:ascii="Times New Roman" w:hAnsi="Times New Roman" w:cs="Times New Roman"/>
          <w:sz w:val="24"/>
          <w:szCs w:val="24"/>
        </w:rPr>
        <w:t>. Companies can determine whether their revenue exceeds their expenditure using the measurements from profit ratios. Succinctly outlining the performance assessment metrics enables firms to establish their liquidity, solvency, and efficiency.</w:t>
      </w:r>
      <w:r w:rsidR="001B4447">
        <w:rPr>
          <w:rFonts w:ascii="Times New Roman" w:hAnsi="Times New Roman" w:cs="Times New Roman"/>
          <w:sz w:val="24"/>
          <w:szCs w:val="24"/>
        </w:rPr>
        <w:t xml:space="preserve"> Consequently, firms can meet their short-term obligations, stabilize their income, and measure their stock turnovers. </w:t>
      </w:r>
    </w:p>
    <w:p w:rsidR="00145FDF" w:rsidRDefault="00145FDF" w:rsidP="00733A0F">
      <w:pPr>
        <w:spacing w:after="0" w:line="480" w:lineRule="auto"/>
        <w:contextualSpacing/>
        <w:rPr>
          <w:rFonts w:ascii="Times New Roman" w:hAnsi="Times New Roman" w:cs="Times New Roman"/>
          <w:b/>
          <w:sz w:val="24"/>
          <w:szCs w:val="24"/>
        </w:rPr>
      </w:pPr>
    </w:p>
    <w:p w:rsidR="00145FDF" w:rsidRDefault="00145FDF" w:rsidP="00733A0F">
      <w:pPr>
        <w:spacing w:after="0" w:line="480" w:lineRule="auto"/>
        <w:contextualSpacing/>
        <w:rPr>
          <w:rFonts w:ascii="Times New Roman" w:hAnsi="Times New Roman" w:cs="Times New Roman"/>
          <w:b/>
          <w:sz w:val="24"/>
          <w:szCs w:val="24"/>
        </w:rPr>
      </w:pPr>
    </w:p>
    <w:p w:rsidR="0040718D" w:rsidRPr="0040718D" w:rsidRDefault="00D87E81" w:rsidP="00733A0F">
      <w:pPr>
        <w:spacing w:after="0" w:line="480" w:lineRule="auto"/>
        <w:contextualSpacing/>
        <w:rPr>
          <w:rFonts w:ascii="Times New Roman" w:hAnsi="Times New Roman" w:cs="Times New Roman"/>
          <w:b/>
          <w:sz w:val="24"/>
          <w:szCs w:val="24"/>
        </w:rPr>
      </w:pPr>
      <w:r w:rsidRPr="0040718D">
        <w:rPr>
          <w:rFonts w:ascii="Times New Roman" w:hAnsi="Times New Roman" w:cs="Times New Roman"/>
          <w:b/>
          <w:sz w:val="24"/>
          <w:szCs w:val="24"/>
        </w:rPr>
        <w:t>Capital Investment Appraisal</w:t>
      </w:r>
    </w:p>
    <w:p w:rsidR="00D93E14" w:rsidRDefault="00D87E8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Capital investment appraisal is primarily measuring the cash inflow whether in surplus or deficit after the financial obligation of a firm has been met. </w:t>
      </w:r>
      <w:r w:rsidR="00C113E1">
        <w:rPr>
          <w:rFonts w:ascii="Times New Roman" w:hAnsi="Times New Roman" w:cs="Times New Roman"/>
          <w:sz w:val="24"/>
          <w:szCs w:val="24"/>
        </w:rPr>
        <w:t xml:space="preserve">Therefore, firms can compare the </w:t>
      </w:r>
      <w:r w:rsidR="00C113E1">
        <w:rPr>
          <w:rFonts w:ascii="Times New Roman" w:hAnsi="Times New Roman" w:cs="Times New Roman"/>
          <w:sz w:val="24"/>
          <w:szCs w:val="24"/>
        </w:rPr>
        <w:lastRenderedPageBreak/>
        <w:t>expected returns from the investments made. Businesses can determine the attractiveness of investment opportunities from their payback periods. From accounting rate return (ARR), firms can compute their profits as a percentage of the expens</w:t>
      </w:r>
      <w:bookmarkStart w:id="0" w:name="_GoBack"/>
      <w:bookmarkEnd w:id="0"/>
      <w:r w:rsidR="00C113E1">
        <w:rPr>
          <w:rFonts w:ascii="Times New Roman" w:hAnsi="Times New Roman" w:cs="Times New Roman"/>
          <w:sz w:val="24"/>
          <w:szCs w:val="24"/>
        </w:rPr>
        <w:t xml:space="preserve">es. Also, cash-flow methodologies enable the business to comprehend how the fluctuation of discount rates affects the valuation of money with time. Capital-intensive investments are successful </w:t>
      </w:r>
      <w:r w:rsidR="009724B1">
        <w:rPr>
          <w:rFonts w:ascii="Times New Roman" w:hAnsi="Times New Roman" w:cs="Times New Roman"/>
          <w:sz w:val="24"/>
          <w:szCs w:val="24"/>
        </w:rPr>
        <w:t xml:space="preserve">after the analysis of the product life cycle and the termination costs calculated. Managers often </w:t>
      </w:r>
      <w:r>
        <w:rPr>
          <w:rFonts w:ascii="Times New Roman" w:hAnsi="Times New Roman" w:cs="Times New Roman"/>
          <w:sz w:val="24"/>
          <w:szCs w:val="24"/>
        </w:rPr>
        <w:t xml:space="preserve">prescribe to investment options that have the lowest life cycles to offer the best value for their capital. Importantly, investment appraisal is done to spark organizational change to improve the morale of the workers. Meeting strategic objectives is made possible using standard portfolios that include every employee in the decision-making process. </w:t>
      </w:r>
    </w:p>
    <w:p w:rsidR="00DE595C" w:rsidRPr="002330A7" w:rsidRDefault="00D87E81" w:rsidP="00733A0F">
      <w:pPr>
        <w:spacing w:after="0" w:line="480" w:lineRule="auto"/>
        <w:ind w:firstLine="720"/>
        <w:contextualSpacing/>
        <w:jc w:val="both"/>
        <w:rPr>
          <w:rFonts w:ascii="Times New Roman" w:hAnsi="Times New Roman" w:cs="Times New Roman"/>
          <w:color w:val="FFFFFF" w:themeColor="background1"/>
          <w:sz w:val="24"/>
          <w:szCs w:val="24"/>
        </w:rPr>
      </w:pPr>
      <w:r>
        <w:rPr>
          <w:rFonts w:ascii="Times New Roman" w:hAnsi="Times New Roman" w:cs="Times New Roman"/>
          <w:sz w:val="24"/>
          <w:szCs w:val="24"/>
        </w:rPr>
        <w:t>Besides, firms can create an appraisal framework that enables the reuse of items and avoid double counting benefits</w:t>
      </w:r>
      <w:r w:rsidR="0040718D">
        <w:rPr>
          <w:rFonts w:ascii="Times New Roman" w:hAnsi="Times New Roman" w:cs="Times New Roman"/>
          <w:sz w:val="24"/>
          <w:szCs w:val="24"/>
        </w:rPr>
        <w:t>.</w:t>
      </w:r>
      <w:r w:rsidR="00D93E14">
        <w:rPr>
          <w:rFonts w:ascii="Times New Roman" w:hAnsi="Times New Roman" w:cs="Times New Roman"/>
          <w:sz w:val="24"/>
          <w:szCs w:val="24"/>
        </w:rPr>
        <w:t xml:space="preserve"> Companies can use Net Present Value (NPV) to determine the flow of cash and the expected returns from certain investments. NPV is inversely proportional to discount rates and should be put into consideration when making capital investment appraisal. Also, Accounting Rate of Return (ARR) is a methodology that is used to compare the forecasted profit margins with the initial capital invested for particular projects. Investment opportunities with higher return rates should be selected. Internal Rate of Return (IRR) is used to determine the efficacy of capital investments and organizations that use this technique are likely to cut on operational costs. </w:t>
      </w:r>
      <w:r w:rsidR="0026781F">
        <w:rPr>
          <w:rFonts w:ascii="Times New Roman" w:hAnsi="Times New Roman" w:cs="Times New Roman"/>
          <w:sz w:val="24"/>
          <w:szCs w:val="24"/>
        </w:rPr>
        <w:t>Low capital costs are viable since they enable organizations to get optimal returns within shortest timelines after the initial capital investment has been made.</w:t>
      </w:r>
      <w:r w:rsidR="00D93E14">
        <w:rPr>
          <w:rFonts w:ascii="Times New Roman" w:hAnsi="Times New Roman" w:cs="Times New Roman"/>
          <w:sz w:val="24"/>
          <w:szCs w:val="24"/>
        </w:rPr>
        <w:t xml:space="preserve"> </w:t>
      </w:r>
      <w:r w:rsidR="0040718D">
        <w:rPr>
          <w:rFonts w:ascii="Times New Roman" w:hAnsi="Times New Roman" w:cs="Times New Roman"/>
          <w:sz w:val="24"/>
          <w:szCs w:val="24"/>
        </w:rPr>
        <w:t xml:space="preserve">The speed and </w:t>
      </w:r>
      <w:r w:rsidR="0040718D">
        <w:rPr>
          <w:rFonts w:ascii="Times New Roman" w:hAnsi="Times New Roman" w:cs="Times New Roman"/>
          <w:sz w:val="24"/>
          <w:szCs w:val="24"/>
        </w:rPr>
        <w:lastRenderedPageBreak/>
        <w:t xml:space="preserve">agility of the appraisal process ensure capacity planning to effectively allocate capital to satisfy the expected revenues (Banham, 2017). </w:t>
      </w:r>
      <w:r>
        <w:rPr>
          <w:rFonts w:ascii="Times New Roman" w:hAnsi="Times New Roman" w:cs="Times New Roman"/>
          <w:sz w:val="24"/>
          <w:szCs w:val="24"/>
        </w:rPr>
        <w:t xml:space="preserve">The existing projects are evaluated against other investment alternatives </w:t>
      </w:r>
      <w:r w:rsidR="008C6F5B">
        <w:rPr>
          <w:rFonts w:ascii="Times New Roman" w:hAnsi="Times New Roman" w:cs="Times New Roman"/>
          <w:sz w:val="24"/>
          <w:szCs w:val="24"/>
        </w:rPr>
        <w:t>and using the data collected, and the management team can carry out analytics on the financial plans. In this regard, the technique is a quantifiable approach that ensures optimal financial returns.</w:t>
      </w:r>
      <w:r w:rsidR="002330A7">
        <w:rPr>
          <w:rFonts w:ascii="Times New Roman" w:hAnsi="Times New Roman" w:cs="Times New Roman"/>
          <w:color w:val="FFFFFF" w:themeColor="background1"/>
          <w:sz w:val="24"/>
          <w:szCs w:val="24"/>
        </w:rPr>
        <w:t xml:space="preserve"> </w:t>
      </w:r>
    </w:p>
    <w:p w:rsidR="00E64D2D" w:rsidRDefault="00E64D2D" w:rsidP="00733A0F">
      <w:pPr>
        <w:spacing w:after="0" w:line="480" w:lineRule="auto"/>
        <w:ind w:firstLine="720"/>
        <w:contextualSpacing/>
        <w:rPr>
          <w:rFonts w:ascii="Times New Roman" w:hAnsi="Times New Roman" w:cs="Times New Roman"/>
          <w:sz w:val="24"/>
          <w:szCs w:val="24"/>
        </w:rPr>
      </w:pPr>
    </w:p>
    <w:p w:rsidR="00733A0F" w:rsidRDefault="00733A0F">
      <w:pPr>
        <w:rPr>
          <w:rFonts w:ascii="Times New Roman" w:hAnsi="Times New Roman" w:cs="Times New Roman"/>
          <w:sz w:val="24"/>
          <w:szCs w:val="24"/>
        </w:rPr>
      </w:pPr>
      <w:r>
        <w:rPr>
          <w:rFonts w:ascii="Times New Roman" w:hAnsi="Times New Roman" w:cs="Times New Roman"/>
          <w:sz w:val="24"/>
          <w:szCs w:val="24"/>
        </w:rPr>
        <w:br w:type="page"/>
      </w:r>
    </w:p>
    <w:p w:rsidR="00E64D2D" w:rsidRDefault="00D87E81" w:rsidP="00733A0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33A0F" w:rsidRDefault="00733A0F"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Accounting Tools. (2018). Dividend policy. Retrieved from </w:t>
      </w:r>
      <w:hyperlink r:id="rId6" w:history="1">
        <w:r w:rsidRPr="009E66DF">
          <w:rPr>
            <w:rStyle w:val="Hyperlink"/>
            <w:rFonts w:ascii="Times New Roman" w:hAnsi="Times New Roman" w:cs="Times New Roman"/>
            <w:sz w:val="24"/>
            <w:szCs w:val="24"/>
          </w:rPr>
          <w:t>https://www.accountingtools.com/articles/2017/5/9/dividend-policy</w:t>
        </w:r>
      </w:hyperlink>
    </w:p>
    <w:p w:rsidR="00FC6C1D" w:rsidRDefault="00733A0F" w:rsidP="00FC6C1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Al-Kassar, T. &amp; Soileau, J. (2014). Financial performance evaluation and bankruptcy </w:t>
      </w:r>
      <w:r w:rsidR="000D4F65">
        <w:rPr>
          <w:rFonts w:ascii="Times New Roman" w:hAnsi="Times New Roman" w:cs="Times New Roman"/>
          <w:sz w:val="24"/>
          <w:szCs w:val="24"/>
        </w:rPr>
        <w:t>prediction</w:t>
      </w:r>
      <w:r>
        <w:rPr>
          <w:rFonts w:ascii="Times New Roman" w:hAnsi="Times New Roman" w:cs="Times New Roman"/>
          <w:sz w:val="24"/>
          <w:szCs w:val="24"/>
        </w:rPr>
        <w:t xml:space="preserve"> Failure (1). Research Gate. doi: </w:t>
      </w:r>
      <w:r w:rsidRPr="00094F45">
        <w:rPr>
          <w:rFonts w:ascii="Times New Roman" w:hAnsi="Times New Roman" w:cs="Times New Roman"/>
          <w:sz w:val="24"/>
          <w:szCs w:val="24"/>
        </w:rPr>
        <w:t>10.1016/j.aebj.2014.05.010</w:t>
      </w:r>
    </w:p>
    <w:p w:rsidR="00733A0F" w:rsidRDefault="00733A0F"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Banham, R. (2017). The best path forward. CFO. Retrieved from </w:t>
      </w:r>
      <w:hyperlink r:id="rId7" w:history="1">
        <w:r w:rsidRPr="009E66DF">
          <w:rPr>
            <w:rStyle w:val="Hyperlink"/>
            <w:rFonts w:ascii="Times New Roman" w:hAnsi="Times New Roman" w:cs="Times New Roman"/>
            <w:sz w:val="24"/>
            <w:szCs w:val="24"/>
          </w:rPr>
          <w:t>http://www.cfo.com/budgeting/2017/10/best-path-forward/</w:t>
        </w:r>
      </w:hyperlink>
    </w:p>
    <w:p w:rsidR="00733A0F" w:rsidRDefault="00733A0F"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Butt, B. Z., Hunjra, A. I., &amp; Rehman, K. (2010). Financial management and their impact on Organization performance. </w:t>
      </w:r>
      <w:r w:rsidRPr="00094F45">
        <w:rPr>
          <w:rFonts w:ascii="Times New Roman" w:hAnsi="Times New Roman" w:cs="Times New Roman"/>
          <w:i/>
          <w:sz w:val="24"/>
          <w:szCs w:val="24"/>
        </w:rPr>
        <w:t>World Applied Sciences Journal</w:t>
      </w:r>
      <w:r>
        <w:rPr>
          <w:rFonts w:ascii="Times New Roman" w:hAnsi="Times New Roman" w:cs="Times New Roman"/>
          <w:sz w:val="24"/>
          <w:szCs w:val="24"/>
        </w:rPr>
        <w:t>. 9(9), pp. 997-1002.</w:t>
      </w:r>
    </w:p>
    <w:p w:rsidR="00733A0F" w:rsidRDefault="00733A0F"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Dahiya, S. (2012). Working capital simulation: Managing growth. Harvard Business Review. Retrieved from </w:t>
      </w:r>
      <w:hyperlink r:id="rId8" w:history="1">
        <w:r w:rsidRPr="009E66DF">
          <w:rPr>
            <w:rStyle w:val="Hyperlink"/>
            <w:rFonts w:ascii="Times New Roman" w:hAnsi="Times New Roman" w:cs="Times New Roman"/>
            <w:sz w:val="24"/>
            <w:szCs w:val="24"/>
          </w:rPr>
          <w:t>https://hbr.org/product/working-capital-simulation-managing-growth/an/4302HB-HTM-ENG</w:t>
        </w:r>
      </w:hyperlink>
    </w:p>
    <w:p w:rsidR="00733A0F" w:rsidRDefault="00733A0F"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Ganesan, V. (2007). An analysis of working capital management efficiency in Telecommunication equipment industry</w:t>
      </w:r>
      <w:r w:rsidRPr="00094F45">
        <w:rPr>
          <w:rFonts w:ascii="Times New Roman" w:hAnsi="Times New Roman" w:cs="Times New Roman"/>
          <w:i/>
          <w:sz w:val="24"/>
          <w:szCs w:val="24"/>
        </w:rPr>
        <w:t>. Rivier Academic Journal.</w:t>
      </w:r>
      <w:r>
        <w:rPr>
          <w:rFonts w:ascii="Times New Roman" w:hAnsi="Times New Roman" w:cs="Times New Roman"/>
          <w:sz w:val="24"/>
          <w:szCs w:val="24"/>
        </w:rPr>
        <w:t xml:space="preserve"> 3(2), pp. 1-10.</w:t>
      </w:r>
    </w:p>
    <w:p w:rsidR="00D42362" w:rsidRDefault="00D42362"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Jain, P. K., Singh, S., &amp; Yadav, S. (2013). Capital structure decisions. Springer Link. Pp. 77-158.</w:t>
      </w:r>
    </w:p>
    <w:p w:rsidR="00D42362" w:rsidRDefault="00D42362"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t>Retrieved from</w:t>
      </w:r>
    </w:p>
    <w:p w:rsidR="00D42362" w:rsidRDefault="00D42362"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r>
      <w:hyperlink r:id="rId9" w:history="1">
        <w:r w:rsidRPr="00266F08">
          <w:rPr>
            <w:rStyle w:val="Hyperlink"/>
            <w:rFonts w:ascii="Times New Roman" w:hAnsi="Times New Roman" w:cs="Times New Roman"/>
            <w:sz w:val="24"/>
            <w:szCs w:val="24"/>
          </w:rPr>
          <w:t>https://link.springer.com/chapter/10.1007/978-81-322-0990-4_3</w:t>
        </w:r>
      </w:hyperlink>
    </w:p>
    <w:p w:rsidR="00733A0F" w:rsidRDefault="00733A0F" w:rsidP="00D4236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Modugu, K. P. Capital structure decision. </w:t>
      </w:r>
      <w:r w:rsidRPr="00094F45">
        <w:rPr>
          <w:rFonts w:ascii="Times New Roman" w:hAnsi="Times New Roman" w:cs="Times New Roman"/>
          <w:i/>
          <w:sz w:val="24"/>
          <w:szCs w:val="24"/>
        </w:rPr>
        <w:t>Journal of Finance and Bank Management</w:t>
      </w:r>
      <w:r>
        <w:rPr>
          <w:rFonts w:ascii="Times New Roman" w:hAnsi="Times New Roman" w:cs="Times New Roman"/>
          <w:sz w:val="24"/>
          <w:szCs w:val="24"/>
        </w:rPr>
        <w:t>. 1(1), pp. 14-27.</w:t>
      </w:r>
    </w:p>
    <w:p w:rsidR="00DE595C" w:rsidRDefault="00DE595C" w:rsidP="00733A0F">
      <w:pPr>
        <w:spacing w:after="0" w:line="480" w:lineRule="auto"/>
        <w:ind w:firstLine="720"/>
        <w:contextualSpacing/>
        <w:rPr>
          <w:rFonts w:ascii="Times New Roman" w:hAnsi="Times New Roman" w:cs="Times New Roman"/>
          <w:sz w:val="24"/>
          <w:szCs w:val="24"/>
        </w:rPr>
      </w:pPr>
    </w:p>
    <w:p w:rsidR="00DE595C" w:rsidRDefault="00DE595C" w:rsidP="00733A0F">
      <w:pPr>
        <w:spacing w:after="0" w:line="480" w:lineRule="auto"/>
        <w:ind w:firstLine="720"/>
        <w:contextualSpacing/>
        <w:rPr>
          <w:rFonts w:ascii="Times New Roman" w:hAnsi="Times New Roman" w:cs="Times New Roman"/>
          <w:sz w:val="24"/>
          <w:szCs w:val="24"/>
        </w:rPr>
      </w:pPr>
    </w:p>
    <w:p w:rsidR="00A81EA2" w:rsidRDefault="00D87E81" w:rsidP="00733A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p>
    <w:p w:rsidR="00A81EA2" w:rsidRDefault="00A81EA2" w:rsidP="00733A0F">
      <w:pPr>
        <w:spacing w:after="0" w:line="480" w:lineRule="auto"/>
        <w:ind w:firstLine="720"/>
        <w:contextualSpacing/>
        <w:rPr>
          <w:rFonts w:ascii="Times New Roman" w:hAnsi="Times New Roman" w:cs="Times New Roman"/>
          <w:sz w:val="24"/>
          <w:szCs w:val="24"/>
        </w:rPr>
      </w:pPr>
    </w:p>
    <w:p w:rsidR="00A81EA2" w:rsidRDefault="00A81EA2" w:rsidP="00733A0F">
      <w:pPr>
        <w:spacing w:after="0" w:line="480" w:lineRule="auto"/>
        <w:ind w:firstLine="720"/>
        <w:contextualSpacing/>
        <w:rPr>
          <w:rFonts w:ascii="Times New Roman" w:hAnsi="Times New Roman" w:cs="Times New Roman"/>
          <w:sz w:val="24"/>
          <w:szCs w:val="24"/>
        </w:rPr>
      </w:pPr>
    </w:p>
    <w:p w:rsidR="00A81EA2" w:rsidRDefault="00A81EA2" w:rsidP="00733A0F">
      <w:pPr>
        <w:spacing w:after="0" w:line="480" w:lineRule="auto"/>
        <w:ind w:firstLine="720"/>
        <w:contextualSpacing/>
        <w:rPr>
          <w:rFonts w:ascii="Times New Roman" w:hAnsi="Times New Roman" w:cs="Times New Roman"/>
          <w:sz w:val="24"/>
          <w:szCs w:val="24"/>
        </w:rPr>
      </w:pPr>
    </w:p>
    <w:p w:rsidR="00D81790" w:rsidRPr="00D81790" w:rsidRDefault="00D87E81" w:rsidP="00733A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p>
    <w:p w:rsidR="00D81790" w:rsidRPr="00D81790" w:rsidRDefault="00D81790" w:rsidP="00733A0F">
      <w:pPr>
        <w:spacing w:after="0" w:line="480" w:lineRule="auto"/>
        <w:ind w:firstLine="720"/>
        <w:contextualSpacing/>
        <w:rPr>
          <w:rFonts w:ascii="Times New Roman" w:hAnsi="Times New Roman" w:cs="Times New Roman"/>
          <w:sz w:val="24"/>
          <w:szCs w:val="24"/>
        </w:rPr>
      </w:pPr>
    </w:p>
    <w:sectPr w:rsidR="00D81790" w:rsidRPr="00D81790" w:rsidSect="00D8179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A7B" w:rsidRDefault="00A67A7B">
      <w:pPr>
        <w:spacing w:after="0" w:line="240" w:lineRule="auto"/>
      </w:pPr>
      <w:r>
        <w:separator/>
      </w:r>
    </w:p>
  </w:endnote>
  <w:endnote w:type="continuationSeparator" w:id="0">
    <w:p w:rsidR="00A67A7B" w:rsidRDefault="00A67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A7B" w:rsidRDefault="00A67A7B">
      <w:pPr>
        <w:spacing w:after="0" w:line="240" w:lineRule="auto"/>
      </w:pPr>
      <w:r>
        <w:separator/>
      </w:r>
    </w:p>
  </w:footnote>
  <w:footnote w:type="continuationSeparator" w:id="0">
    <w:p w:rsidR="00A67A7B" w:rsidRDefault="00A67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790" w:rsidRPr="00D81790" w:rsidRDefault="005B3F33" w:rsidP="00D81790">
    <w:pPr>
      <w:pStyle w:val="Header"/>
      <w:spacing w:line="480" w:lineRule="auto"/>
      <w:rPr>
        <w:rFonts w:ascii="Times New Roman" w:hAnsi="Times New Roman" w:cs="Times New Roman"/>
        <w:sz w:val="24"/>
        <w:szCs w:val="24"/>
      </w:rPr>
    </w:pPr>
    <w:r>
      <w:rPr>
        <w:rFonts w:ascii="Times New Roman" w:hAnsi="Times New Roman" w:cs="Times New Roman"/>
        <w:sz w:val="24"/>
        <w:szCs w:val="24"/>
      </w:rPr>
      <w:t>FINANCIAL MANAGEMENT PRACTICES</w:t>
    </w:r>
    <w:r w:rsidR="00D87E81">
      <w:rPr>
        <w:rFonts w:ascii="Times New Roman" w:hAnsi="Times New Roman" w:cs="Times New Roman"/>
        <w:sz w:val="24"/>
        <w:szCs w:val="24"/>
      </w:rPr>
      <w:tab/>
    </w:r>
    <w:r w:rsidR="00D87E81">
      <w:rPr>
        <w:rFonts w:ascii="Times New Roman" w:hAnsi="Times New Roman" w:cs="Times New Roman"/>
        <w:sz w:val="24"/>
        <w:szCs w:val="24"/>
      </w:rPr>
      <w:tab/>
    </w:r>
    <w:sdt>
      <w:sdtPr>
        <w:rPr>
          <w:rFonts w:ascii="Times New Roman" w:hAnsi="Times New Roman" w:cs="Times New Roman"/>
          <w:sz w:val="24"/>
          <w:szCs w:val="24"/>
        </w:rPr>
        <w:id w:val="-222301207"/>
        <w:docPartObj>
          <w:docPartGallery w:val="Page Numbers (Top of Page)"/>
          <w:docPartUnique/>
        </w:docPartObj>
      </w:sdtPr>
      <w:sdtEndPr>
        <w:rPr>
          <w:noProof/>
        </w:rPr>
      </w:sdtEndPr>
      <w:sdtContent>
        <w:r w:rsidR="00D87E81" w:rsidRPr="00D81790">
          <w:rPr>
            <w:rFonts w:ascii="Times New Roman" w:hAnsi="Times New Roman" w:cs="Times New Roman"/>
            <w:sz w:val="24"/>
            <w:szCs w:val="24"/>
          </w:rPr>
          <w:fldChar w:fldCharType="begin"/>
        </w:r>
        <w:r w:rsidR="00D87E81" w:rsidRPr="00D81790">
          <w:rPr>
            <w:rFonts w:ascii="Times New Roman" w:hAnsi="Times New Roman" w:cs="Times New Roman"/>
            <w:sz w:val="24"/>
            <w:szCs w:val="24"/>
          </w:rPr>
          <w:instrText xml:space="preserve"> PAGE   \* MERGEFORMAT </w:instrText>
        </w:r>
        <w:r w:rsidR="00D87E81" w:rsidRPr="00D81790">
          <w:rPr>
            <w:rFonts w:ascii="Times New Roman" w:hAnsi="Times New Roman" w:cs="Times New Roman"/>
            <w:sz w:val="24"/>
            <w:szCs w:val="24"/>
          </w:rPr>
          <w:fldChar w:fldCharType="separate"/>
        </w:r>
        <w:r w:rsidR="00136AF2">
          <w:rPr>
            <w:rFonts w:ascii="Times New Roman" w:hAnsi="Times New Roman" w:cs="Times New Roman"/>
            <w:noProof/>
            <w:sz w:val="24"/>
            <w:szCs w:val="24"/>
          </w:rPr>
          <w:t>7</w:t>
        </w:r>
        <w:r w:rsidR="00D87E81" w:rsidRPr="00D81790">
          <w:rPr>
            <w:rFonts w:ascii="Times New Roman" w:hAnsi="Times New Roman" w:cs="Times New Roman"/>
            <w:noProof/>
            <w:sz w:val="24"/>
            <w:szCs w:val="24"/>
          </w:rPr>
          <w:fldChar w:fldCharType="end"/>
        </w:r>
      </w:sdtContent>
    </w:sdt>
  </w:p>
  <w:p w:rsidR="00D81790" w:rsidRDefault="00D8179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790" w:rsidRPr="005B3F33" w:rsidRDefault="00D87E81" w:rsidP="005B3F33">
    <w:pPr>
      <w:pStyle w:val="Header"/>
      <w:spacing w:line="480" w:lineRule="auto"/>
      <w:rPr>
        <w:rFonts w:ascii="Times New Roman" w:hAnsi="Times New Roman" w:cs="Times New Roman"/>
        <w:sz w:val="24"/>
        <w:szCs w:val="24"/>
      </w:rPr>
    </w:pPr>
    <w:r w:rsidRPr="00D81790">
      <w:rPr>
        <w:rFonts w:ascii="Times New Roman" w:hAnsi="Times New Roman" w:cs="Times New Roman"/>
        <w:sz w:val="24"/>
        <w:szCs w:val="24"/>
      </w:rPr>
      <w:t>Running head: FINANCIAL MANAGEMENT PRACTICES</w:t>
    </w:r>
    <w:r w:rsidR="005B3F33">
      <w:rPr>
        <w:rFonts w:ascii="Times New Roman" w:hAnsi="Times New Roman" w:cs="Times New Roman"/>
        <w:sz w:val="24"/>
        <w:szCs w:val="24"/>
      </w:rPr>
      <w:tab/>
    </w:r>
    <w:r w:rsidRPr="00D81790">
      <w:rPr>
        <w:rFonts w:ascii="Times New Roman" w:hAnsi="Times New Roman" w:cs="Times New Roman"/>
        <w:sz w:val="24"/>
        <w:szCs w:val="24"/>
      </w:rPr>
      <w:t xml:space="preserve"> </w:t>
    </w:r>
    <w:sdt>
      <w:sdtPr>
        <w:rPr>
          <w:rFonts w:ascii="Times New Roman" w:hAnsi="Times New Roman" w:cs="Times New Roman"/>
          <w:sz w:val="24"/>
          <w:szCs w:val="24"/>
        </w:rPr>
        <w:id w:val="728047220"/>
        <w:docPartObj>
          <w:docPartGallery w:val="Page Numbers (Top of Page)"/>
          <w:docPartUnique/>
        </w:docPartObj>
      </w:sdtPr>
      <w:sdtEndPr>
        <w:rPr>
          <w:noProof/>
        </w:rPr>
      </w:sdtEndPr>
      <w:sdtContent>
        <w:r w:rsidRPr="00D81790">
          <w:rPr>
            <w:rFonts w:ascii="Times New Roman" w:hAnsi="Times New Roman" w:cs="Times New Roman"/>
            <w:sz w:val="24"/>
            <w:szCs w:val="24"/>
          </w:rPr>
          <w:fldChar w:fldCharType="begin"/>
        </w:r>
        <w:r w:rsidRPr="00D81790">
          <w:rPr>
            <w:rFonts w:ascii="Times New Roman" w:hAnsi="Times New Roman" w:cs="Times New Roman"/>
            <w:sz w:val="24"/>
            <w:szCs w:val="24"/>
          </w:rPr>
          <w:instrText xml:space="preserve"> PAGE   \* MERGEFORMAT </w:instrText>
        </w:r>
        <w:r w:rsidRPr="00D81790">
          <w:rPr>
            <w:rFonts w:ascii="Times New Roman" w:hAnsi="Times New Roman" w:cs="Times New Roman"/>
            <w:sz w:val="24"/>
            <w:szCs w:val="24"/>
          </w:rPr>
          <w:fldChar w:fldCharType="separate"/>
        </w:r>
        <w:r w:rsidR="00136AF2">
          <w:rPr>
            <w:rFonts w:ascii="Times New Roman" w:hAnsi="Times New Roman" w:cs="Times New Roman"/>
            <w:noProof/>
            <w:sz w:val="24"/>
            <w:szCs w:val="24"/>
          </w:rPr>
          <w:t>1</w:t>
        </w:r>
        <w:r w:rsidRPr="00D8179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790"/>
    <w:rsid w:val="000249A4"/>
    <w:rsid w:val="00094F45"/>
    <w:rsid w:val="000D4F65"/>
    <w:rsid w:val="0012082E"/>
    <w:rsid w:val="00120AF1"/>
    <w:rsid w:val="00136AF2"/>
    <w:rsid w:val="00145FDF"/>
    <w:rsid w:val="001A418B"/>
    <w:rsid w:val="001B4447"/>
    <w:rsid w:val="002330A7"/>
    <w:rsid w:val="0026781F"/>
    <w:rsid w:val="002736D7"/>
    <w:rsid w:val="002C5443"/>
    <w:rsid w:val="00394908"/>
    <w:rsid w:val="0040718D"/>
    <w:rsid w:val="00416AEA"/>
    <w:rsid w:val="004B43D3"/>
    <w:rsid w:val="004E17C1"/>
    <w:rsid w:val="005B3F33"/>
    <w:rsid w:val="007203BD"/>
    <w:rsid w:val="00733A0F"/>
    <w:rsid w:val="007A154B"/>
    <w:rsid w:val="008C6F5B"/>
    <w:rsid w:val="008D7C83"/>
    <w:rsid w:val="008F2E18"/>
    <w:rsid w:val="00911604"/>
    <w:rsid w:val="00924669"/>
    <w:rsid w:val="009529C6"/>
    <w:rsid w:val="00966CC9"/>
    <w:rsid w:val="009724B1"/>
    <w:rsid w:val="009E66DF"/>
    <w:rsid w:val="00A0571B"/>
    <w:rsid w:val="00A67A7B"/>
    <w:rsid w:val="00A734FB"/>
    <w:rsid w:val="00A81EA2"/>
    <w:rsid w:val="00AA78C1"/>
    <w:rsid w:val="00C113E1"/>
    <w:rsid w:val="00D01F39"/>
    <w:rsid w:val="00D10017"/>
    <w:rsid w:val="00D42362"/>
    <w:rsid w:val="00D47F19"/>
    <w:rsid w:val="00D5103B"/>
    <w:rsid w:val="00D81790"/>
    <w:rsid w:val="00D87E81"/>
    <w:rsid w:val="00D93E14"/>
    <w:rsid w:val="00DE595C"/>
    <w:rsid w:val="00E64D2D"/>
    <w:rsid w:val="00EB0B2C"/>
    <w:rsid w:val="00EF3BFB"/>
    <w:rsid w:val="00EF4AC1"/>
    <w:rsid w:val="00F43C6A"/>
    <w:rsid w:val="00FC6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8D09E1-1F80-45AE-B094-219BB3A8E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790"/>
  </w:style>
  <w:style w:type="paragraph" w:styleId="Footer">
    <w:name w:val="footer"/>
    <w:basedOn w:val="Normal"/>
    <w:link w:val="FooterChar"/>
    <w:uiPriority w:val="99"/>
    <w:unhideWhenUsed/>
    <w:rsid w:val="00D81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790"/>
  </w:style>
  <w:style w:type="character" w:styleId="Hyperlink">
    <w:name w:val="Hyperlink"/>
    <w:basedOn w:val="DefaultParagraphFont"/>
    <w:uiPriority w:val="99"/>
    <w:unhideWhenUsed/>
    <w:rsid w:val="00E64D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product/working-capital-simulation-managing-growth/an/4302HB-HTM-E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fo.com/budgeting/2017/10/best-path-forward/"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countingtools.com/articles/2017/5/9/dividend-policy"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ink.springer.com/chapter/10.1007/978-81-322-0990-4_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2076</Words>
  <Characters>11837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2019-02-24T10:26:00Z</dcterms:created>
  <dcterms:modified xsi:type="dcterms:W3CDTF">2019-02-24T10:26:00Z</dcterms:modified>
</cp:coreProperties>
</file>